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5351">
      <w:pPr>
        <w:pStyle w:val="Titolo"/>
        <w:spacing w:line="360" w:lineRule="auto"/>
        <w:ind w:left="2268"/>
        <w:jc w:val="right"/>
        <w:rPr>
          <w:rFonts w:ascii="Arial" w:hAnsi="Arial"/>
          <w:color w:val="000000"/>
          <w:spacing w:val="140"/>
          <w:sz w:val="2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171575" cy="1162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6" t="13016" r="22697" b="1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4512">
      <w:pPr>
        <w:pStyle w:val="Titolo"/>
        <w:spacing w:line="360" w:lineRule="auto"/>
        <w:ind w:left="2268"/>
        <w:jc w:val="left"/>
        <w:rPr>
          <w:rFonts w:ascii="Arial" w:hAnsi="Arial"/>
          <w:color w:val="000000"/>
          <w:spacing w:val="140"/>
          <w:sz w:val="22"/>
        </w:rPr>
      </w:pPr>
    </w:p>
    <w:p w:rsidR="00000000" w:rsidRDefault="005A4512">
      <w:pPr>
        <w:pStyle w:val="Titolo"/>
        <w:spacing w:line="360" w:lineRule="auto"/>
        <w:ind w:left="2268"/>
        <w:jc w:val="both"/>
        <w:rPr>
          <w:rFonts w:ascii="Arial" w:hAnsi="Arial"/>
          <w:color w:val="000000"/>
          <w:spacing w:val="140"/>
          <w:sz w:val="22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0"/>
        <w:jc w:val="both"/>
        <w:rPr>
          <w:rFonts w:ascii="Arial" w:hAnsi="Arial"/>
          <w:b/>
          <w:color w:val="000000"/>
          <w:spacing w:val="140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jc w:val="center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jc w:val="center"/>
        <w:rPr>
          <w:rFonts w:ascii="Arial" w:hAnsi="Arial"/>
          <w:b/>
        </w:rPr>
      </w:pPr>
      <w:r>
        <w:rPr>
          <w:rFonts w:ascii="Arial" w:hAnsi="Arial"/>
          <w:b/>
          <w:sz w:val="32"/>
          <w:szCs w:val="32"/>
        </w:rPr>
        <w:t>“</w:t>
      </w:r>
      <w:r>
        <w:rPr>
          <w:rFonts w:ascii="Arial" w:hAnsi="Arial"/>
          <w:b/>
          <w:sz w:val="32"/>
          <w:szCs w:val="32"/>
        </w:rPr>
        <w:t>Saluti da Ischia Ponte”</w:t>
      </w: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CONCORSO INTERNAZIONALE DI IDEE PER LA</w:t>
      </w: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VALORIZZAZIONE URBANISTICA ED ARCHITETTONICA</w:t>
      </w: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jc w:val="center"/>
        <w:rPr>
          <w:rFonts w:ascii="Arial" w:hAnsi="Arial"/>
          <w:color w:val="000000"/>
          <w:spacing w:val="140"/>
          <w:sz w:val="22"/>
        </w:rPr>
      </w:pPr>
      <w:r>
        <w:rPr>
          <w:rFonts w:ascii="Arial" w:hAnsi="Arial"/>
          <w:b/>
        </w:rPr>
        <w:t>DEL BORGO DI ISCHIA PONTE</w:t>
      </w:r>
    </w:p>
    <w:p w:rsidR="00000000" w:rsidRDefault="005A4512">
      <w:pPr>
        <w:pStyle w:val="Titolo"/>
        <w:spacing w:line="360" w:lineRule="auto"/>
        <w:ind w:left="2268"/>
        <w:jc w:val="both"/>
        <w:rPr>
          <w:rFonts w:ascii="Arial" w:hAnsi="Arial"/>
          <w:color w:val="000000"/>
          <w:spacing w:val="140"/>
          <w:sz w:val="22"/>
        </w:rPr>
      </w:pPr>
    </w:p>
    <w:p w:rsidR="00000000" w:rsidRDefault="006F5351">
      <w:pPr>
        <w:pStyle w:val="Titolo"/>
        <w:spacing w:line="360" w:lineRule="auto"/>
        <w:ind w:left="2268"/>
        <w:rPr>
          <w:rFonts w:ascii="Arial" w:hAnsi="Arial"/>
        </w:rPr>
      </w:pPr>
      <w:r>
        <w:rPr>
          <w:noProof/>
          <w:lang w:eastAsia="it-IT"/>
        </w:rPr>
        <w:drawing>
          <wp:inline distT="0" distB="0" distL="0" distR="0">
            <wp:extent cx="1790700" cy="1009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jc w:val="both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jc w:val="both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jc w:val="both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BANDO DI CONCORSO</w:t>
      </w: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0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</w:rPr>
      </w:pPr>
      <w:r>
        <w:rPr>
          <w:rFonts w:ascii="Arial" w:hAnsi="Arial"/>
          <w:b/>
        </w:rPr>
        <w:t>Premessa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</w:rPr>
        <w:t>Il Borgo di Ischia Ponte nasce come borgo di pescatori; la presenza</w:t>
      </w:r>
      <w:r>
        <w:rPr>
          <w:rFonts w:ascii="Arial" w:hAnsi="Arial"/>
        </w:rPr>
        <w:t xml:space="preserve"> di residenze di famiglie nobili, di chiese e dell’Episcopio ne completa l’articolazione urbanistica ed architettonica . 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</w:rPr>
        <w:t>Fortemente caratterizzante è la presenza del Castello Aragonese d’Ischia, isolotto fortificato in mezzo al mare, cui è collegato da un</w:t>
      </w:r>
      <w:r>
        <w:rPr>
          <w:rFonts w:ascii="Arial" w:hAnsi="Arial"/>
        </w:rPr>
        <w:t xml:space="preserve"> pontile in muratura.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</w:rPr>
        <w:t>A partire dagli anni ’60 con l’aumento dell’afflusso turistico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</w:rPr>
        <w:t>l’originaria autenticità del borgo si è andata via via perdendo a causa di un malinteso senso del progresso e della modernità che ha deformato le architetture e le loro de</w:t>
      </w:r>
      <w:r>
        <w:rPr>
          <w:rFonts w:ascii="Arial" w:hAnsi="Arial"/>
        </w:rPr>
        <w:t xml:space="preserve">stinazioni d’uso. 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</w:rPr>
        <w:t>L’impianto urbanistico resta però ferma testimonianza dell’unicità di un Luogo costruito secondo uno spontaneo senso delle proporzioni e delle funzioni.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</w:rPr>
        <w:t>Il Concorso Internazionale di Idee “Saluti da Ischia Ponte” si ispira all’ideale car</w:t>
      </w:r>
      <w:r>
        <w:rPr>
          <w:rFonts w:ascii="Arial" w:hAnsi="Arial"/>
        </w:rPr>
        <w:t>tolina, allo scatto fotografico del Borgo autentico degli anni ’50 in cui le architetture e le attività nella loro spontanea armonia connotavano le impressioni dei primi turisti/esploratori che avrebbero aperto la strada a flussi ben più consistenti e a in</w:t>
      </w:r>
      <w:r>
        <w:rPr>
          <w:rFonts w:ascii="Arial" w:hAnsi="Arial"/>
        </w:rPr>
        <w:t>controllate trasformazioni del territorio.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  <w:b/>
        </w:rPr>
      </w:pPr>
      <w:r>
        <w:rPr>
          <w:rFonts w:ascii="Arial" w:hAnsi="Arial"/>
        </w:rPr>
        <w:t>Il Concorso mira  dunque al recupero dell’autenticità del Borgo attraverso il ripristino di forme e funzioni perdute e la proposizione di contributi contemporanei che ne esaltino le qualità e potenzialità.</w:t>
      </w:r>
    </w:p>
    <w:p w:rsidR="00000000" w:rsidRDefault="005A4512">
      <w:pPr>
        <w:pStyle w:val="p10"/>
        <w:tabs>
          <w:tab w:val="clear" w:pos="240"/>
        </w:tabs>
        <w:spacing w:line="360" w:lineRule="auto"/>
        <w:ind w:left="0"/>
        <w:rPr>
          <w:rFonts w:ascii="Arial" w:hAnsi="Arial"/>
          <w:b/>
        </w:rPr>
      </w:pPr>
    </w:p>
    <w:p w:rsidR="00000000" w:rsidRDefault="005A4512">
      <w:pPr>
        <w:pStyle w:val="p10"/>
        <w:tabs>
          <w:tab w:val="clear" w:pos="240"/>
        </w:tabs>
        <w:spacing w:line="360" w:lineRule="auto"/>
        <w:ind w:left="2268"/>
        <w:rPr>
          <w:rFonts w:ascii="Arial" w:hAnsi="Arial"/>
          <w:b/>
        </w:rPr>
      </w:pPr>
      <w:r>
        <w:rPr>
          <w:rFonts w:ascii="Arial" w:hAnsi="Arial"/>
          <w:b/>
        </w:rPr>
        <w:t>1. OGG</w:t>
      </w:r>
      <w:r>
        <w:rPr>
          <w:rFonts w:ascii="Arial" w:hAnsi="Arial"/>
          <w:b/>
        </w:rPr>
        <w:t>ETTO DEL CONCORSO.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 w:right="4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1.1. Obiettivi e finalità.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IL CONSORZIO BORGO DI ISCHIA PONTE, bandisce un Concorso internazionale di idee per la valorizzazione urbanistica ed architettonica del Borgo di Ischia Ponte.</w:t>
      </w:r>
    </w:p>
    <w:p w:rsidR="00000000" w:rsidRDefault="005A4512">
      <w:pPr>
        <w:ind w:left="2268"/>
        <w:jc w:val="both"/>
        <w:rPr>
          <w:rFonts w:ascii="Arial" w:hAnsi="Arial"/>
          <w:szCs w:val="24"/>
        </w:rPr>
      </w:pPr>
      <w:r>
        <w:rPr>
          <w:rFonts w:ascii="Arial" w:hAnsi="Arial"/>
        </w:rPr>
        <w:t xml:space="preserve">Il Concorso “Saluti da Ischia Ponte” ha lo scopo </w:t>
      </w:r>
      <w:r>
        <w:rPr>
          <w:rFonts w:ascii="Arial" w:hAnsi="Arial"/>
        </w:rPr>
        <w:t>di giungere alla definizione di una soluzione urbanistica ed architettonica che risponda alle seguenti finalità:</w:t>
      </w:r>
    </w:p>
    <w:p w:rsidR="00000000" w:rsidRDefault="005A4512">
      <w:pPr>
        <w:pStyle w:val="ListParagraph"/>
        <w:numPr>
          <w:ilvl w:val="3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Progettazione dell’area attualmente occupata dall’ edificio degli uffici INPS (di cui è prevista la demolizione) e che faccia da cerniera tra l</w:t>
      </w:r>
      <w:r>
        <w:rPr>
          <w:rFonts w:ascii="Arial" w:hAnsi="Arial"/>
          <w:sz w:val="24"/>
          <w:szCs w:val="24"/>
        </w:rPr>
        <w:t xml:space="preserve">a Via Luigi Mazzella (corso principale del Borgo) e il Lungomare Alfonso Il Magnanimo. Un eventuale volume di progetto non potrà superare quello preesistente e la destinazione d’uso è di libera scelta. </w:t>
      </w:r>
    </w:p>
    <w:p w:rsidR="00000000" w:rsidRDefault="005A4512">
      <w:pPr>
        <w:pStyle w:val="ListParagraph"/>
        <w:numPr>
          <w:ilvl w:val="3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Riqualificazione del lungomare “Alfonso Il Magnanimo”</w:t>
      </w:r>
      <w:r>
        <w:rPr>
          <w:rFonts w:ascii="Arial" w:hAnsi="Arial"/>
          <w:sz w:val="24"/>
          <w:szCs w:val="24"/>
        </w:rPr>
        <w:t>, del Piazzale Aragonese e relativo pontile a mare. I tre spazi sono il punto d’incontro tra l’abitato e il mare: sono richiesti interventi che, pur avendo impatto minimo sulla linea di costa, esaltino la fruibilità dei luoghi e la percezione delle straord</w:t>
      </w:r>
      <w:r>
        <w:rPr>
          <w:rFonts w:ascii="Arial" w:hAnsi="Arial"/>
          <w:sz w:val="24"/>
          <w:szCs w:val="24"/>
        </w:rPr>
        <w:t>inarie prospettive architettoniche e ambientali.</w:t>
      </w:r>
    </w:p>
    <w:p w:rsidR="00000000" w:rsidRDefault="005A4512">
      <w:pPr>
        <w:pStyle w:val="ListParagraph"/>
        <w:numPr>
          <w:ilvl w:val="3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sz w:val="24"/>
          <w:szCs w:val="24"/>
        </w:rPr>
        <w:t>Progettazione della connessione architettonica e funzionale tra il costruendo parcheggio della “Siena” e il Borgo di Ischia Ponte. Si richiede un intervento che consenta di valorizzare non solo l’ingresso al</w:t>
      </w:r>
      <w:r>
        <w:rPr>
          <w:rFonts w:ascii="Arial" w:hAnsi="Arial"/>
          <w:sz w:val="24"/>
          <w:szCs w:val="24"/>
        </w:rPr>
        <w:t xml:space="preserve"> Borgo, ma consenta di accentuare la pedonalizzazione del Centro storico integrandola con gli interventi proposti nei primi due punti.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 Parametri di progetto.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parametri principali di riferimento per il progetto di valorizzazione urbanistica ed archi</w:t>
      </w:r>
      <w:r>
        <w:rPr>
          <w:rFonts w:ascii="Arial" w:hAnsi="Arial"/>
        </w:rPr>
        <w:t>tettonica oggetto del Concorso sono il rispetto dell’impianto urbanistico originario, il recupero delle strutture edilizie dal valore architettonico e storico documentato, l’introduzione di soluzioni progettuali di impronta contemporanea che esaltino i val</w:t>
      </w:r>
      <w:r>
        <w:rPr>
          <w:rFonts w:ascii="Arial" w:hAnsi="Arial"/>
        </w:rPr>
        <w:t>ori originari del Borgo e ne migliorino la fruibilità da parte di residenti e ospiti.</w:t>
      </w:r>
    </w:p>
    <w:p w:rsidR="00000000" w:rsidRDefault="005A4512">
      <w:pPr>
        <w:pStyle w:val="ListParagraph"/>
        <w:spacing w:line="100" w:lineRule="atLeast"/>
        <w:ind w:left="2268"/>
        <w:jc w:val="both"/>
        <w:rPr>
          <w:rFonts w:ascii="Arial" w:hAnsi="Arial"/>
          <w:sz w:val="24"/>
        </w:rPr>
      </w:pPr>
    </w:p>
    <w:p w:rsidR="00000000" w:rsidRDefault="005A4512">
      <w:pPr>
        <w:pStyle w:val="ListParagraph"/>
        <w:spacing w:line="100" w:lineRule="atLeast"/>
        <w:ind w:left="226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1.3. Vincoli di progetto.</w:t>
      </w:r>
    </w:p>
    <w:p w:rsidR="00000000" w:rsidRDefault="005A4512">
      <w:pPr>
        <w:pStyle w:val="ListParagraph"/>
        <w:spacing w:line="100" w:lineRule="atLeast"/>
        <w:ind w:left="2268"/>
        <w:jc w:val="both"/>
        <w:rPr>
          <w:rFonts w:ascii="Arial" w:hAnsi="Arial"/>
          <w:b/>
          <w:sz w:val="24"/>
        </w:rPr>
      </w:pPr>
    </w:p>
    <w:p w:rsidR="00000000" w:rsidRDefault="005A4512">
      <w:pPr>
        <w:pStyle w:val="ListParagraph"/>
        <w:spacing w:line="100" w:lineRule="atLeast"/>
        <w:ind w:left="226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Vincoli di natura legislativa.</w:t>
      </w:r>
    </w:p>
    <w:p w:rsidR="00000000" w:rsidRDefault="005A4512">
      <w:pPr>
        <w:pStyle w:val="ListParagraph"/>
        <w:spacing w:line="100" w:lineRule="atLeast"/>
        <w:ind w:left="226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Borgo di Ischia Ponte, così come l’intera Isola di Ischia, è sottoposta a tutela paesaggistica ai sensi del </w:t>
      </w:r>
      <w:r>
        <w:rPr>
          <w:rFonts w:ascii="Arial" w:hAnsi="Arial"/>
          <w:sz w:val="24"/>
        </w:rPr>
        <w:t>Piano paesistico Territoriale redatto ai sensi dell’Art. 1 – bis della legge 8 agosto 1985 n° 431. Nello specifico le aree oggetto di concorso di progettazione rientrano nella Zona di Protezione Integrale. (Per le Norme di attuazione si rimanda all’allegat</w:t>
      </w:r>
      <w:r>
        <w:rPr>
          <w:rFonts w:ascii="Arial" w:hAnsi="Arial"/>
          <w:sz w:val="24"/>
        </w:rPr>
        <w:t>o specifico).</w:t>
      </w:r>
    </w:p>
    <w:p w:rsidR="00000000" w:rsidRDefault="005A4512">
      <w:pPr>
        <w:pStyle w:val="ListParagraph"/>
        <w:spacing w:line="100" w:lineRule="atLeast"/>
        <w:ind w:left="226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L’organo competente ad esprimere i pareri per gli interventi sui beni vincolati è la Soprintendenza per i Beni architettonici, paesaggistici, storici, artistici ed etnoantropologici per Napoli e Provincia.</w:t>
      </w:r>
    </w:p>
    <w:p w:rsidR="00000000" w:rsidRDefault="005A4512">
      <w:pPr>
        <w:pStyle w:val="ListParagraph"/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  <w:sz w:val="24"/>
        </w:rPr>
        <w:t>Dal punto di vista normativo, bisogn</w:t>
      </w:r>
      <w:r>
        <w:rPr>
          <w:rFonts w:ascii="Arial" w:hAnsi="Arial"/>
          <w:sz w:val="24"/>
        </w:rPr>
        <w:t>a tener presente i dettami del Piano Regolatore Generale di Ischia, il regolamento edilizio vigente, e la cartografia dei rischi frana ed idrogeologico dell’Autorità di Bacino della Regione Campania.</w:t>
      </w:r>
    </w:p>
    <w:p w:rsidR="00000000" w:rsidRDefault="005A4512">
      <w:pPr>
        <w:jc w:val="both"/>
        <w:rPr>
          <w:rFonts w:ascii="Arial" w:hAnsi="Arial"/>
        </w:rPr>
      </w:pPr>
    </w:p>
    <w:p w:rsidR="00000000" w:rsidRDefault="005A4512">
      <w:pPr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 PROCEDURE DI CONCORSO.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2.1. Tipo di Concorso e lin</w:t>
      </w:r>
      <w:r>
        <w:rPr>
          <w:rFonts w:ascii="Arial" w:hAnsi="Arial"/>
          <w:b/>
        </w:rPr>
        <w:t>gua ufficiale.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Il presente è un Concorso internazionale di idee organizzato in un’unica fase e si svolge in forma anonima. </w:t>
      </w:r>
    </w:p>
    <w:p w:rsidR="00000000" w:rsidRDefault="005A4512">
      <w:pPr>
        <w:ind w:left="2268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La lingua ufficiale del Concorso è l’italiano.</w:t>
      </w:r>
    </w:p>
    <w:p w:rsidR="00000000" w:rsidRDefault="005A4512">
      <w:pPr>
        <w:ind w:left="2268"/>
        <w:jc w:val="both"/>
        <w:rPr>
          <w:rFonts w:ascii="Arial" w:hAnsi="Arial"/>
          <w:color w:val="FF0000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2.2. Pubblicità e diffusione.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Il Concorso sarà diffuso sul sito web istituzionale</w:t>
      </w:r>
      <w:r>
        <w:rPr>
          <w:rFonts w:ascii="Arial" w:hAnsi="Arial"/>
        </w:rPr>
        <w:t xml:space="preserve"> del Consorzio Borgo di Ischia Ponte (</w:t>
      </w:r>
      <w:hyperlink r:id="rId7" w:history="1">
        <w:r>
          <w:rPr>
            <w:rStyle w:val="Collegamentoipertestuale"/>
            <w:rFonts w:ascii="Arial" w:hAnsi="Arial"/>
          </w:rPr>
          <w:t>www.borgoischiaponte.it</w:t>
        </w:r>
      </w:hyperlink>
      <w:r>
        <w:rPr>
          <w:rFonts w:ascii="Arial" w:hAnsi="Arial"/>
        </w:rPr>
        <w:t>) e sui principali siti italiani e stranieri specializzati in materia.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000000" w:rsidRDefault="005A4512">
      <w:pPr>
        <w:ind w:left="2268"/>
        <w:jc w:val="both"/>
      </w:pPr>
      <w:r>
        <w:rPr>
          <w:rFonts w:ascii="Arial" w:hAnsi="Arial"/>
          <w:b/>
        </w:rPr>
        <w:t>2.3. Condizioni di partecipazione.</w:t>
      </w:r>
    </w:p>
    <w:p w:rsidR="00000000" w:rsidRDefault="005A4512">
      <w:pPr>
        <w:ind w:left="2268"/>
        <w:jc w:val="both"/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La partecipazione al Concorso è riser</w:t>
      </w:r>
      <w:r>
        <w:rPr>
          <w:rFonts w:ascii="Arial" w:hAnsi="Arial"/>
        </w:rPr>
        <w:t xml:space="preserve">vata agli architetti e agli urbanisti iscritti agli Albi dei rispettivi ordini professionali.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concorrenti possono partecipare singolarmente o congiuntamente, anche mediante raggruppamenti o associazioni temporanee, indicando il progettista architetto ch</w:t>
      </w:r>
      <w:r>
        <w:rPr>
          <w:rFonts w:ascii="Arial" w:hAnsi="Arial"/>
        </w:rPr>
        <w:t>e assume le funzioni di capogruppo.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concorrenti potranno avvalersi di consulenti o di collaboratori, che potranno essere privi dei requisiti di ammissione ma non dovranno trovarsi in alcuna delle condizioni di esclusione di cui al successivo art. 2.4.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L’</w:t>
      </w:r>
      <w:r>
        <w:rPr>
          <w:rFonts w:ascii="Arial" w:hAnsi="Arial"/>
        </w:rPr>
        <w:t>Ente Banditore è responsabile solamente nei confronti del capogruppo ed è sollevato da qualunque responsabilità inerente i rapporti interni al gruppo stesso.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</w:rPr>
        <w:t>Non è ammessa la partecipazione di un concorrente a più di un gruppo di progettazione, né come cap</w:t>
      </w:r>
      <w:r>
        <w:rPr>
          <w:rFonts w:ascii="Arial" w:hAnsi="Arial"/>
        </w:rPr>
        <w:t>ogruppo, né come membro del gruppo né come consulente o collaboratore. La partecipazione di un concorrente a più di un gruppo di progettazione comporta l’esclusione dal Concorso di tutti i gruppi dei quali il concorrente risulta essere membro.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2.4. Cause </w:t>
      </w:r>
      <w:r>
        <w:rPr>
          <w:rFonts w:ascii="Arial" w:hAnsi="Arial"/>
          <w:b/>
        </w:rPr>
        <w:t>di esclusione.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Non possono partecipare al Concorso: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i componenti effettivi o supplenti della Giuria, i componenti della segreteria del Concorso, i loro coniugi, i loro parenti e affini, fino al terzo grado compreso, i loro dipendenti e collaboratori e q</w:t>
      </w:r>
      <w:r>
        <w:rPr>
          <w:rFonts w:ascii="Arial" w:hAnsi="Arial"/>
        </w:rPr>
        <w:t>uanti abbiano con loro in atto rapporti di collaborazione continuativa;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</w:rPr>
        <w:t>- coloro che hanno partecipato alla stesura del bando e/o dei documenti allegati.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  <w:b/>
        </w:rPr>
        <w:t>3. DOCUMENTAZIONE DI CONCORSO.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3.1. Bando e domanda d’iscrizione.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Il bando e la domanda d’iscrizio</w:t>
      </w:r>
      <w:r>
        <w:rPr>
          <w:rFonts w:ascii="Arial" w:hAnsi="Arial"/>
        </w:rPr>
        <w:t xml:space="preserve">ne costituiscono gli elaborati basilari per la partecipazione al Concorso. 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</w:rPr>
        <w:t>Tutta la documentazione di Concorso è disponibile e scaricabile gratuitamente dal sito web: (</w:t>
      </w:r>
      <w:hyperlink r:id="rId8" w:history="1">
        <w:r>
          <w:rPr>
            <w:rStyle w:val="Collegamentoipertestuale"/>
            <w:rFonts w:ascii="Arial" w:hAnsi="Arial"/>
          </w:rPr>
          <w:t>www.borgoischiaponte.it</w:t>
        </w:r>
      </w:hyperlink>
      <w:r>
        <w:rPr>
          <w:rFonts w:ascii="Arial" w:hAnsi="Arial"/>
        </w:rPr>
        <w:t>)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  <w:b/>
        </w:rPr>
        <w:t>3.2. Allegat</w:t>
      </w:r>
      <w:r>
        <w:rPr>
          <w:rFonts w:ascii="Arial" w:hAnsi="Arial"/>
          <w:b/>
        </w:rPr>
        <w:t>i al bando.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Gli Allegati al bando ne costituiscono parte integrante e sostanziale. Essi devono essere compilati da parte dei partecipanti e consegnati in busta chiusa, secondo quanto previsto dall’art. 5.2.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Gli Allegati al bando sono costituiti da: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</w:rPr>
        <w:t>- Sch</w:t>
      </w:r>
      <w:r>
        <w:rPr>
          <w:rFonts w:ascii="Arial" w:hAnsi="Arial"/>
        </w:rPr>
        <w:t>eda A - Anagrafica e componenti del gruppo.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Scheda B - Dichiarazione Sostitutiva di Certificazione.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</w:rPr>
        <w:t>- Scheda C - Delega al capogruppo.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</w:rPr>
        <w:t>- Scheda D - Autorizzazione a pubblicare.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Scheda E - Scelta del motto.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3.3. Documentazione di Concorso.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Costituisce</w:t>
      </w:r>
      <w:r>
        <w:rPr>
          <w:rFonts w:ascii="Arial" w:hAnsi="Arial"/>
        </w:rPr>
        <w:t>, inoltre, parte integrante e sostanziale del bando di Concorso la seguente documentazione: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Documentazione descrittiva (storia del Borgo di Ischia Ponte, bibliografia);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Documentazione storica (immagini e piante antiche).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Documentazione fotografica (f</w:t>
      </w:r>
      <w:r>
        <w:rPr>
          <w:rFonts w:ascii="Arial" w:hAnsi="Arial"/>
        </w:rPr>
        <w:t>oto aeree, foto attuali);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Documentazione grafica (planimetria);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Relazione sui parametri di progetto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  <w:b/>
        </w:rPr>
        <w:t>4. MODALITÀ DI PARTECIPAZIONE.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4.1. Iscrizione.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Coloro che intendono partecipare al Concorso dovranno inviare la domanda d’iscrizione, scaricabile d</w:t>
      </w:r>
      <w:r>
        <w:rPr>
          <w:rFonts w:ascii="Arial" w:hAnsi="Arial"/>
        </w:rPr>
        <w:t>al sito web (</w:t>
      </w:r>
      <w:hyperlink r:id="rId9" w:history="1">
        <w:r>
          <w:rPr>
            <w:rStyle w:val="Collegamentoipertestuale"/>
            <w:rFonts w:ascii="Arial" w:hAnsi="Arial"/>
          </w:rPr>
          <w:t>www.borgoischiaponte.it</w:t>
        </w:r>
      </w:hyperlink>
      <w:r>
        <w:rPr>
          <w:rFonts w:ascii="Arial" w:hAnsi="Arial"/>
        </w:rPr>
        <w:t xml:space="preserve">) compilata in ogni sua parte.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La domanda deve essere sottoscritta dal singolo soggetto partecipante, o dal solo capogruppo in caso di partecipazione di gruppo, e dovrà co</w:t>
      </w:r>
      <w:r>
        <w:rPr>
          <w:rFonts w:ascii="Arial" w:hAnsi="Arial"/>
        </w:rPr>
        <w:t>ntenere l’indicazione dei recapiti a cui indirizzare le comunicazioni relative al Concorso.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La domanda di iscrizione dovrà contenere i dati attestanti il versamento della quota di iscrizione di euro 150,00 (centocinquanta/00), s</w:t>
      </w:r>
      <w:r>
        <w:rPr>
          <w:rFonts w:ascii="Arial" w:hAnsi="Arial"/>
          <w:color w:val="000000"/>
        </w:rPr>
        <w:t>pese di bonifico escluse</w:t>
      </w:r>
      <w:r>
        <w:rPr>
          <w:rFonts w:ascii="Arial" w:hAnsi="Arial"/>
        </w:rPr>
        <w:t>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Il</w:t>
      </w:r>
      <w:r>
        <w:rPr>
          <w:rFonts w:ascii="Arial" w:hAnsi="Arial"/>
        </w:rPr>
        <w:t xml:space="preserve"> versamento della quota di iscrizione dovrà essere effettuato tramite bonifico bancario intestato a: Consorzio Borgo di Ischia Ponte riportando come causale del versamento la dicitura: “Iscrizione Concorso Borgo di Ischia Ponte 2017”.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IBAN: IT08N0311139930</w:t>
      </w:r>
      <w:r>
        <w:rPr>
          <w:rFonts w:ascii="Arial" w:hAnsi="Arial"/>
        </w:rPr>
        <w:t>000000000228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La domanda di iscrizione dovrà pervenire alla segreteria del Concorso, all’indirizzo e-mail: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hyperlink r:id="rId10" w:history="1">
        <w:r>
          <w:rPr>
            <w:rStyle w:val="Collegamentoipertestuale"/>
            <w:rFonts w:ascii="Arial" w:hAnsi="Arial"/>
          </w:rPr>
          <w:t>concorso@borgoischiaponte.it)</w:t>
        </w:r>
      </w:hyperlink>
      <w:r>
        <w:rPr>
          <w:rFonts w:ascii="Arial" w:hAnsi="Arial"/>
        </w:rPr>
        <w:t xml:space="preserve">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(oggetto: “iscrizione concorso 2017”), entro il giorno 31.05.2017.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4.2. S</w:t>
      </w:r>
      <w:r>
        <w:rPr>
          <w:rFonts w:ascii="Arial" w:hAnsi="Arial"/>
          <w:b/>
        </w:rPr>
        <w:t>opralluogo.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giorni 03.06.17 e 10.06.17 sono previsti due sopralluoghi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guidati al Borgo di Ischia Ponte.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Il sopralluogo all’area di progetto non è obbligatorio per la partecipazione al Concorso.</w:t>
      </w:r>
      <w:r>
        <w:rPr>
          <w:rFonts w:ascii="Arial" w:hAnsi="Arial"/>
          <w:color w:val="FF0000"/>
        </w:rPr>
        <w:t xml:space="preserve">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concorrenti interessati a partecipare al sopralluogo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</w:rPr>
        <w:t xml:space="preserve">vranno inviare comunicazione di conferma alla segreteria del Concorso, via e-mail: </w:t>
      </w:r>
      <w:hyperlink r:id="rId11" w:history="1">
        <w:r>
          <w:rPr>
            <w:rStyle w:val="Collegamentoipertestuale"/>
            <w:rFonts w:ascii="Arial" w:hAnsi="Arial"/>
          </w:rPr>
          <w:t>concorso@borgoischiaponte.it</w:t>
        </w:r>
      </w:hyperlink>
      <w:r>
        <w:rPr>
          <w:rFonts w:ascii="Arial" w:hAnsi="Arial"/>
        </w:rPr>
        <w:t xml:space="preserve"> (oggetto: “sopralluogo concorso”), entro le ore 12.00 del giorno antecedente il sopralluogo.</w:t>
      </w:r>
      <w:r>
        <w:rPr>
          <w:rFonts w:ascii="Arial" w:hAnsi="Arial"/>
        </w:rPr>
        <w:t xml:space="preserve">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L’appuntamento per il sopralluogo è stabilito alle ore 11.00, nei pressi dell’ingresso del Borgo. I partecipanti devono portare copia della mail di comunicazione della partecipazione al sopralluogo.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In occasione dei sopralluoghi la segreteria del Concors</w:t>
      </w:r>
      <w:r>
        <w:rPr>
          <w:rFonts w:ascii="Arial" w:hAnsi="Arial"/>
        </w:rPr>
        <w:t>o sarà a disposizione per rispondere a ulteriori domande, che saranno successivamente verbalizzate a beneficio di tutti i partecipanti.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  <w:b/>
        </w:rPr>
        <w:t>4.3. Quesiti di chiarimento.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Gli iscritti al Concorso potranno rivolgere alla segreteria di Concorso, all’indirizzo e-</w:t>
      </w:r>
      <w:r>
        <w:rPr>
          <w:rFonts w:ascii="Arial" w:hAnsi="Arial"/>
        </w:rPr>
        <w:t xml:space="preserve">mail: </w:t>
      </w:r>
      <w:hyperlink r:id="rId12" w:history="1">
        <w:r>
          <w:rPr>
            <w:rStyle w:val="Collegamentoipertestuale"/>
            <w:rFonts w:ascii="Arial" w:hAnsi="Arial"/>
          </w:rPr>
          <w:t>concorso@borgoischiaponte.it</w:t>
        </w:r>
      </w:hyperlink>
      <w:r>
        <w:rPr>
          <w:rFonts w:ascii="Arial" w:hAnsi="Arial"/>
        </w:rPr>
        <w:t xml:space="preserve"> (oggetto: “</w:t>
      </w:r>
      <w:r>
        <w:rPr>
          <w:rFonts w:ascii="Arial" w:hAnsi="Arial"/>
          <w:u w:val="single"/>
        </w:rPr>
        <w:t>quesiti concorso</w:t>
      </w:r>
      <w:r>
        <w:rPr>
          <w:rFonts w:ascii="Arial" w:hAnsi="Arial"/>
        </w:rPr>
        <w:t xml:space="preserve">”), quesiti di chiarimento sul bando e sulla documentazione allegata, entro il giorno 16.06.2017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Il giorno 19.06.2017 la segreteria del Concorso pubbli</w:t>
      </w:r>
      <w:r>
        <w:rPr>
          <w:rFonts w:ascii="Arial" w:hAnsi="Arial"/>
        </w:rPr>
        <w:t>cherà i quesiti pervenuti e le relative risposte, consultabili esclusivamente</w:t>
      </w: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</w:rPr>
        <w:t xml:space="preserve">sul sito </w:t>
      </w:r>
      <w:hyperlink r:id="rId13" w:history="1">
        <w:r>
          <w:rPr>
            <w:rStyle w:val="Collegamentoipertestuale"/>
            <w:rFonts w:ascii="Arial" w:hAnsi="Arial"/>
          </w:rPr>
          <w:t>www.borgoischiaponte.it</w:t>
        </w:r>
      </w:hyperlink>
      <w:r>
        <w:rPr>
          <w:rFonts w:ascii="Arial" w:hAnsi="Arial"/>
        </w:rPr>
        <w:t>)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Le risposte ai quesiti non saranno fornite singolarmente ai concorrenti.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color w:val="FF0000"/>
        </w:rPr>
      </w:pPr>
      <w:r>
        <w:rPr>
          <w:rFonts w:ascii="Arial" w:hAnsi="Arial"/>
          <w:b/>
        </w:rPr>
        <w:t>5. ELABORATI RICHIEST</w:t>
      </w:r>
      <w:r>
        <w:rPr>
          <w:rFonts w:ascii="Arial" w:hAnsi="Arial"/>
          <w:b/>
        </w:rPr>
        <w:t>I.</w:t>
      </w:r>
    </w:p>
    <w:p w:rsidR="00000000" w:rsidRDefault="005A4512">
      <w:pPr>
        <w:ind w:left="2268"/>
        <w:jc w:val="both"/>
        <w:rPr>
          <w:rFonts w:ascii="Arial" w:hAnsi="Arial"/>
          <w:color w:val="FF0000"/>
        </w:rPr>
      </w:pPr>
    </w:p>
    <w:p w:rsidR="00000000" w:rsidRDefault="005A4512">
      <w:pPr>
        <w:ind w:left="2268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 xml:space="preserve">5.1. Elaborati di progetto. </w:t>
      </w:r>
    </w:p>
    <w:p w:rsidR="00000000" w:rsidRDefault="005A4512">
      <w:pPr>
        <w:ind w:left="2268"/>
        <w:jc w:val="both"/>
        <w:rPr>
          <w:rFonts w:ascii="Arial" w:hAnsi="Arial"/>
          <w:b/>
          <w:color w:val="FF0000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Per la partecipazione al Concorso sono richiesti i seguenti elaborati: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N. 2 tavole in formato A1 verticale (cm. 84,1x59,4), contenenti gli elaborati ritenuti utili ad illustrare l’idea progettuale, alle scale grafiche ri</w:t>
      </w:r>
      <w:r>
        <w:rPr>
          <w:rFonts w:ascii="Arial" w:hAnsi="Arial"/>
        </w:rPr>
        <w:t xml:space="preserve">tenute più opportune.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Le tavole dovranno essere montate su pannelli rigidi e leggeri, tipo “forex”, di 3 mm. di spessore, plastificate opache. La composizione delle tavole è liberamente formulata dai concorrenti. Su ciascuna tavola dovrà essere riportato </w:t>
      </w:r>
      <w:r>
        <w:rPr>
          <w:rFonts w:ascii="Arial" w:hAnsi="Arial"/>
        </w:rPr>
        <w:t xml:space="preserve">il motto, come specificato al successivo </w:t>
      </w:r>
      <w:r>
        <w:rPr>
          <w:rFonts w:ascii="Arial" w:hAnsi="Arial"/>
        </w:rPr>
        <w:lastRenderedPageBreak/>
        <w:t>art. 5.2.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Relazione di non più di 5 facciate di formato A4 (2.200 battute circa per facciata, spazi inclusi), oltre all’eventuale copertina, che illustri in maniera adeguata le scelte di progetto, eventualmente in</w:t>
      </w:r>
      <w:r>
        <w:rPr>
          <w:rFonts w:ascii="Arial" w:hAnsi="Arial"/>
        </w:rPr>
        <w:t xml:space="preserve">tegrate con schizzi di studio, schemi, fotografie, purché compresi entro le 5 facciate prescritte.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Stima di massima dei costi di costruzione per macrocategorie riportate in una tabella schematica in formato A4.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Le 2 tavole di progetto ridotte in forma</w:t>
      </w:r>
      <w:r>
        <w:rPr>
          <w:rFonts w:ascii="Arial" w:hAnsi="Arial"/>
        </w:rPr>
        <w:t>to A3, stampate su carta piegata in A4.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CD-Rom contenente le 2 tavole di progetto (in formato tif, ad alta definizione, risoluzione 300 dpi, dimensioni A1) e la relazione di progetto (in formato .doc)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Non sono ammessi, a pena di esclusione, elaborati u</w:t>
      </w:r>
      <w:r>
        <w:rPr>
          <w:rFonts w:ascii="Arial" w:hAnsi="Arial"/>
        </w:rPr>
        <w:t xml:space="preserve">lteriori o diversi.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Gli elaborati di progetto (2 tavole in formato A1, relazione e stima e 2 tavole in formato A3 – tavole di studio o di dettaglio) dovranno essere racchiusi in un unico incartamento (PLICO n.1) recante all’esterno il motto, come precisat</w:t>
      </w:r>
      <w:r>
        <w:rPr>
          <w:rFonts w:ascii="Arial" w:hAnsi="Arial"/>
        </w:rPr>
        <w:t>o nel successivo art. 5.2.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Il CD-Rom contenente la proposta progettuale su supporto informatico deve essere inserito in una busta diversa da quella contenente i documenti di Concorso (PLICO n.3), come precisato nel successivo art. 5.2, al fine di garantire</w:t>
      </w:r>
      <w:r>
        <w:rPr>
          <w:rFonts w:ascii="Arial" w:hAnsi="Arial"/>
        </w:rPr>
        <w:t xml:space="preserve"> la forma di anonimato dei partecipanti.</w:t>
      </w:r>
    </w:p>
    <w:p w:rsidR="00000000" w:rsidRDefault="005A4512">
      <w:pPr>
        <w:ind w:left="2268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Il Concorso si svolge in forma anonima; pertanto dovranno essere omessi nomi o indicazioni tali da svelare l’identità del concorrente, sia sugli elaborati di concorso che sui plichi di incartamento e spedizione.</w:t>
      </w:r>
    </w:p>
    <w:p w:rsidR="00000000" w:rsidRDefault="005A4512">
      <w:pPr>
        <w:ind w:left="2268"/>
        <w:jc w:val="both"/>
        <w:rPr>
          <w:rFonts w:ascii="Arial" w:hAnsi="Arial"/>
          <w:color w:val="FF0000"/>
        </w:rPr>
      </w:pPr>
    </w:p>
    <w:p w:rsidR="00000000" w:rsidRDefault="005A4512">
      <w:pPr>
        <w:ind w:left="2268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>2. Modalità di presentazione degli elaborati e dei documenti di Concorso.</w:t>
      </w:r>
    </w:p>
    <w:p w:rsidR="00000000" w:rsidRDefault="005A4512">
      <w:pPr>
        <w:ind w:left="2268"/>
        <w:jc w:val="both"/>
        <w:rPr>
          <w:rFonts w:ascii="Arial" w:hAnsi="Arial"/>
          <w:b/>
          <w:color w:val="FF0000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Ciascun progetto dovrà essere contraddistinto da un motto composto da 5 lettere. Il motto dovrà essere collocato in alto a destra delle due tavole (carattere “Arial”, maiuscolo, dim</w:t>
      </w:r>
      <w:r>
        <w:rPr>
          <w:rFonts w:ascii="Arial" w:hAnsi="Arial"/>
        </w:rPr>
        <w:t>ensione 40 punti) e riportato su ciascun elaborato di progetto, come anche in testa alla relazione, sul CD-Rom e sulle Schede allegate.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concorrenti dovranno raccogliere gli elaborati e i documenti di Concorso divisi in tre incartamenti separati (PLICO n.</w:t>
      </w:r>
      <w:r>
        <w:rPr>
          <w:rFonts w:ascii="Arial" w:hAnsi="Arial"/>
        </w:rPr>
        <w:t>1, PLICO n.2 e PLICO n.3), opachi, sigillati e contrassegnati all'esterno dal motto riportato sugli elaborati di progetto.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Il PLICO n.1 conterrà gli elaborati di progetto descritti nel precedente art. 5.1.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Il PLICO n.2 conterrà i seguenti documenti, oppor</w:t>
      </w:r>
      <w:r>
        <w:rPr>
          <w:rFonts w:ascii="Arial" w:hAnsi="Arial"/>
        </w:rPr>
        <w:t>tunamente compilati da parte dei partecipanti: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</w:rPr>
        <w:t>- Scheda A - Anagrafica e componenti del gruppo.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Scheda B - Dichiarazione Sostitutiva di Certificazione.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</w:rPr>
        <w:t>- Scheda C - Delega al capogruppo.</w:t>
      </w:r>
    </w:p>
    <w:p w:rsidR="00000000" w:rsidRDefault="005A4512">
      <w:pPr>
        <w:pStyle w:val="p10"/>
        <w:tabs>
          <w:tab w:val="clear" w:pos="240"/>
        </w:tabs>
        <w:spacing w:line="100" w:lineRule="atLeast"/>
        <w:ind w:left="2268"/>
        <w:jc w:val="both"/>
        <w:rPr>
          <w:rFonts w:ascii="Arial" w:hAnsi="Arial"/>
        </w:rPr>
      </w:pPr>
      <w:r>
        <w:rPr>
          <w:rFonts w:ascii="Arial" w:hAnsi="Arial"/>
        </w:rPr>
        <w:t>- Scheda D - Autorizzazione a pubblicare.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Scheda E - Scelta del m</w:t>
      </w:r>
      <w:r>
        <w:rPr>
          <w:rFonts w:ascii="Arial" w:hAnsi="Arial"/>
        </w:rPr>
        <w:t>otto.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Il PLICO n.3 conterrà il CD-Rom contenente le 2 tavole di progetto e </w:t>
      </w:r>
      <w:r>
        <w:rPr>
          <w:rFonts w:ascii="Arial" w:hAnsi="Arial"/>
        </w:rPr>
        <w:lastRenderedPageBreak/>
        <w:t>la relazione</w:t>
      </w:r>
      <w:r>
        <w:rPr>
          <w:rFonts w:ascii="Arial" w:hAnsi="Arial"/>
          <w:i/>
        </w:rPr>
        <w:t>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L’incartamento degli elaborati di progetto (PLICO n.1), la busta con i documenti dei concorrenti (PLICO n.2) e la busta contenente il CD-Rom (PLICO n.3) dovranno esser</w:t>
      </w:r>
      <w:r>
        <w:rPr>
          <w:rFonts w:ascii="Arial" w:hAnsi="Arial"/>
        </w:rPr>
        <w:t xml:space="preserve">e racchiusi in un’unica confezione, recante all’esterno l’indirizzo del destinatario e precisamente: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Concorso internazionale di idee per la valorizzazione urbanistica ed architettonica del Borgo di Ischia Ponte: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c/o Consorzio Borgo di Ischia Ponte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Via Lu</w:t>
      </w:r>
      <w:r>
        <w:rPr>
          <w:rFonts w:ascii="Arial" w:hAnsi="Arial"/>
        </w:rPr>
        <w:t>igi Mazzella n.124,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80077 Ischia (Na)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Al fine di mantenere l’anonimato, qualora il vettore di spedizione prescelto dovesse richiedere l’indirizzo del mittente, potrà essere indicato quello dell’Ente Banditore del Concorso.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Nel caso di smarrimento del plic</w:t>
      </w:r>
      <w:r>
        <w:rPr>
          <w:rFonts w:ascii="Arial" w:hAnsi="Arial"/>
        </w:rPr>
        <w:t>o, l’Ente Banditore non accetterà alcuna rivalsa da parte dei concorrenti e non accetterà alcun ricevimento di documentazione successivo alla data di scadenza.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5.3. Termine di consegna degli elaborati di Concorso.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concorrenti dovranno consegnare a mano</w:t>
      </w:r>
      <w:r>
        <w:rPr>
          <w:rFonts w:ascii="Arial" w:hAnsi="Arial"/>
        </w:rPr>
        <w:t xml:space="preserve"> o far pervenire via posta, al Consorzio Borgo di Ischia Ponte in Via Luigi Mazzella, gli elaborati ed i documenti sopra descritti, entro e non oltre le ore 18.00 del giorno 30.06.2017.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L’indirizzo presso cui far pervenire la documentazione è il seguente:</w:t>
      </w:r>
      <w:r>
        <w:rPr>
          <w:rFonts w:ascii="Arial" w:hAnsi="Arial"/>
        </w:rPr>
        <w:t xml:space="preserve"> Consorzio Borgo di Ischia Ponte – Via Luigi Mazzella- 80077 Ischia (NA)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plichi inviati via posta dovranno rispettare lo stesso termine di consegna, ovvero pervenire entro il giorno 31.03.2017. La data di scadenza per l’invio della documentazione si rife</w:t>
      </w:r>
      <w:r>
        <w:rPr>
          <w:rFonts w:ascii="Arial" w:hAnsi="Arial"/>
        </w:rPr>
        <w:t>risce inderogabilmente alla consegna e non alla data di spedizione, qualunque sia il vettore di spedizione utilizzato.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 VALUTAZIONE DEI PROGETTI.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6.1. Giuria del Concorso.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La Giuria è composta da membri effettivi e membri supplenti.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Qualora un membro</w:t>
      </w:r>
      <w:r>
        <w:rPr>
          <w:rFonts w:ascii="Arial" w:hAnsi="Arial"/>
        </w:rPr>
        <w:t xml:space="preserve"> effettivo dichiari la propria impossibilità a partecipare ai lavori, verrà sostituito in via definitiva da un membro supplente designato dal Presidente. Ai lavori della giuria partecipa un segretario verbalizzante, nominato dall’Ente Banditore, senza diri</w:t>
      </w:r>
      <w:r>
        <w:rPr>
          <w:rFonts w:ascii="Arial" w:hAnsi="Arial"/>
        </w:rPr>
        <w:t xml:space="preserve">tto di voto.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Per la verifica preliminare degli aspetti formali e tecnici definiti nel bando dei progetti, la Giuria sarà supportata dalla segreteria del Concorso in veste di commissione istruttoria.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La Giuria è composta da cinque membri effettivi: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un ar</w:t>
      </w:r>
      <w:r>
        <w:rPr>
          <w:rFonts w:ascii="Arial" w:hAnsi="Arial"/>
        </w:rPr>
        <w:t>chitetto di chiara fama, con funzione di presidente;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- un rappresentante del Consorzio Borgo Ischia Ponte;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un rappresentante dell’</w:t>
      </w:r>
      <w:bookmarkStart w:id="1" w:name="_GoBack1"/>
      <w:bookmarkEnd w:id="1"/>
      <w:r>
        <w:rPr>
          <w:rFonts w:ascii="Arial" w:hAnsi="Arial"/>
        </w:rPr>
        <w:t xml:space="preserve"> Ufficio Tecnico del Comune di Ischia;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un architetto designato dall’Ordine degli Architetti di Napoli e Provincia;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un Ar</w:t>
      </w:r>
      <w:r>
        <w:rPr>
          <w:rFonts w:ascii="Arial" w:hAnsi="Arial"/>
        </w:rPr>
        <w:t>chitetto designato dal DiARCH.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Partecipa ai lavori della Giuria, senza diritto di voto, un rappresentante dell’ente banditore con funzione di segretario.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E’ prevista la nomina di n. 3 membri supplenti, designati in accordo tra l’ente banditore, l’Ordine de</w:t>
      </w:r>
      <w:r>
        <w:rPr>
          <w:rFonts w:ascii="Arial" w:hAnsi="Arial"/>
        </w:rPr>
        <w:t>gli Architetti di Napoli e Provincia e il DiArch, che entreranno a far parte della Giuria in caso di defezione di suoi componenti.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nomi dei componenti della Giuria saranno resi pubblici successivamente alla scadenza del termine di consegna degli elaborat</w:t>
      </w:r>
      <w:r>
        <w:rPr>
          <w:rFonts w:ascii="Arial" w:hAnsi="Arial"/>
        </w:rPr>
        <w:t xml:space="preserve">i ai sensi dell’art. 84 del D.Lgs 163/2006 sul sito internet del concorso </w:t>
      </w:r>
      <w:hyperlink r:id="rId14" w:history="1">
        <w:r>
          <w:rPr>
            <w:rStyle w:val="Collegamentoipertestuale"/>
            <w:rFonts w:ascii="Arial" w:hAnsi="Arial"/>
          </w:rPr>
          <w:t>www.borgoischiaponte.it</w:t>
        </w:r>
      </w:hyperlink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componenti della Giuria devono dichiarare di non incorrere in alcuna delle situazioni di incompatibilità pre</w:t>
      </w:r>
      <w:r>
        <w:rPr>
          <w:rFonts w:ascii="Arial" w:hAnsi="Arial"/>
        </w:rPr>
        <w:t xml:space="preserve">viste dalla normativa vigente e dal presente Bando, incluse quelle previste dall’art. 84, comma 7 del D.Lgs. n. 163/06.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In caso di incompatibilità, il concorrente (ovvero il consulente o il collaboratore) sarà escluso assieme all’eventuale gruppo di cui f</w:t>
      </w:r>
      <w:r>
        <w:rPr>
          <w:rFonts w:ascii="Arial" w:hAnsi="Arial"/>
        </w:rPr>
        <w:t xml:space="preserve">a parte. 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I Criteri di valutazione del Concorso possono essere così schematizzati: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a) aspetti estetici e funzionali: </w:t>
      </w:r>
    </w:p>
    <w:p w:rsidR="00000000" w:rsidRDefault="005A4512">
      <w:pPr>
        <w:ind w:left="2880"/>
        <w:jc w:val="both"/>
        <w:rPr>
          <w:rFonts w:ascii="Arial" w:hAnsi="Arial"/>
        </w:rPr>
      </w:pPr>
      <w:r>
        <w:rPr>
          <w:rFonts w:ascii="Arial" w:hAnsi="Arial"/>
        </w:rPr>
        <w:t>- funzionalità dello schema distributivo urbanistico e dell’integrazione tra le aree poste in prossimità dell’ex sede Inps e quelle a ri</w:t>
      </w:r>
      <w:r>
        <w:rPr>
          <w:rFonts w:ascii="Arial" w:hAnsi="Arial"/>
        </w:rPr>
        <w:t>dosso del lungomare Alfonso il Magnanimo;</w:t>
      </w:r>
    </w:p>
    <w:p w:rsidR="00000000" w:rsidRDefault="005A4512">
      <w:pPr>
        <w:ind w:left="2880" w:firstLine="60"/>
        <w:jc w:val="both"/>
        <w:rPr>
          <w:rFonts w:ascii="Arial" w:hAnsi="Arial"/>
        </w:rPr>
      </w:pPr>
      <w:r>
        <w:rPr>
          <w:rFonts w:ascii="Arial" w:hAnsi="Arial"/>
        </w:rPr>
        <w:t xml:space="preserve">- qualità del progetto architettonico, in rapporto agli edifici esistenti e a quello interessato dal concorso (ex sede Inps) e al suo inserimento paesaggistico; </w:t>
      </w:r>
    </w:p>
    <w:p w:rsidR="00000000" w:rsidRDefault="005A4512">
      <w:pPr>
        <w:ind w:left="2880" w:firstLine="60"/>
        <w:jc w:val="both"/>
        <w:rPr>
          <w:rFonts w:ascii="Arial" w:hAnsi="Arial"/>
          <w:b/>
        </w:rPr>
      </w:pPr>
      <w:r>
        <w:rPr>
          <w:rFonts w:ascii="Arial" w:hAnsi="Arial"/>
        </w:rPr>
        <w:t>- fattibilità tecnica e coerenza con gli obiettivi d</w:t>
      </w:r>
      <w:r>
        <w:rPr>
          <w:rFonts w:ascii="Arial" w:hAnsi="Arial"/>
        </w:rPr>
        <w:t>el progetto;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b) aspetti economici: </w:t>
      </w:r>
    </w:p>
    <w:p w:rsidR="00000000" w:rsidRDefault="005A4512">
      <w:pPr>
        <w:ind w:left="2268" w:firstLine="612"/>
        <w:jc w:val="both"/>
        <w:rPr>
          <w:rFonts w:ascii="Arial" w:hAnsi="Arial"/>
        </w:rPr>
      </w:pPr>
      <w:r>
        <w:rPr>
          <w:rFonts w:ascii="Arial" w:hAnsi="Arial"/>
        </w:rPr>
        <w:t xml:space="preserve">- validità della stima dei costi; </w:t>
      </w:r>
    </w:p>
    <w:p w:rsidR="00000000" w:rsidRDefault="005A4512">
      <w:pPr>
        <w:ind w:left="2880"/>
        <w:jc w:val="both"/>
        <w:rPr>
          <w:rFonts w:ascii="Arial" w:hAnsi="Arial"/>
        </w:rPr>
      </w:pPr>
      <w:r>
        <w:rPr>
          <w:rFonts w:ascii="Arial" w:hAnsi="Arial"/>
        </w:rPr>
        <w:t xml:space="preserve">- facile manutenzione e lunga durata nel tempo dei materiali impiegati; </w:t>
      </w:r>
    </w:p>
    <w:p w:rsidR="00000000" w:rsidRDefault="005A4512">
      <w:pPr>
        <w:ind w:left="288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- contenimento dei costi di costruzione e di gestione (risparmio energetico e manutenzione);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  <w:b/>
        </w:rPr>
        <w:t>c) aspetti general</w:t>
      </w:r>
      <w:r>
        <w:rPr>
          <w:rFonts w:ascii="Arial" w:hAnsi="Arial"/>
          <w:b/>
        </w:rPr>
        <w:t xml:space="preserve">i: </w:t>
      </w:r>
    </w:p>
    <w:p w:rsidR="00000000" w:rsidRDefault="005A4512">
      <w:pPr>
        <w:ind w:left="2268" w:firstLine="612"/>
        <w:jc w:val="both"/>
        <w:rPr>
          <w:rFonts w:ascii="Arial" w:hAnsi="Arial"/>
        </w:rPr>
      </w:pPr>
      <w:r>
        <w:rPr>
          <w:rFonts w:ascii="Arial" w:hAnsi="Arial"/>
        </w:rPr>
        <w:t xml:space="preserve">- rispetto di tutte le condizioni del bando; </w:t>
      </w:r>
    </w:p>
    <w:p w:rsidR="00000000" w:rsidRDefault="005A4512">
      <w:pPr>
        <w:ind w:left="2880"/>
        <w:jc w:val="both"/>
        <w:rPr>
          <w:rFonts w:ascii="Arial" w:hAnsi="Arial"/>
        </w:rPr>
      </w:pPr>
      <w:r>
        <w:rPr>
          <w:rFonts w:ascii="Arial" w:hAnsi="Arial"/>
        </w:rPr>
        <w:t xml:space="preserve">- utilizzo dei più recenti ritrovati della tecnologia ed innovatività della proposta. </w:t>
      </w:r>
    </w:p>
    <w:p w:rsidR="00000000" w:rsidRDefault="005A4512">
      <w:pPr>
        <w:ind w:left="2268" w:firstLine="612"/>
        <w:jc w:val="both"/>
        <w:rPr>
          <w:rFonts w:ascii="Arial" w:hAnsi="Arial"/>
        </w:rPr>
      </w:pPr>
    </w:p>
    <w:p w:rsidR="00000000" w:rsidRDefault="005A4512">
      <w:pPr>
        <w:ind w:left="2268" w:firstLine="612"/>
        <w:jc w:val="both"/>
        <w:rPr>
          <w:rFonts w:ascii="Arial" w:hAnsi="Arial"/>
          <w:b/>
        </w:rPr>
      </w:pPr>
      <w:r>
        <w:rPr>
          <w:rFonts w:ascii="Arial" w:hAnsi="Arial"/>
        </w:rPr>
        <w:t>Tali criteri potranno essere opportunamente integrati ed ampliati dalla Commissione Giudicatrice in sede di definizion</w:t>
      </w:r>
      <w:r>
        <w:rPr>
          <w:rFonts w:ascii="Arial" w:hAnsi="Arial"/>
        </w:rPr>
        <w:t>e dei criteri per la formazione dei giudizi.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6.2. Lavori della Giuria.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Prima dell’esame degli elaborati, la segreteria del Concorso provvederà ad eseguire un’istruttoria atta a verificare la rispondenza dei progetti alle richieste del bando.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Dopo avere s</w:t>
      </w:r>
      <w:r>
        <w:rPr>
          <w:rFonts w:ascii="Arial" w:hAnsi="Arial"/>
        </w:rPr>
        <w:t>tabilito i criteri di valutazione e tenuto conto degli obiettivi enunciati nel bando e delle informazioni raccolte nella documentazione allegata, la Giuria valuterà gli elaborati presentati, selezionando 10 (dieci) progetti ritenuti meritevoli per l’esposi</w:t>
      </w:r>
      <w:r>
        <w:rPr>
          <w:rFonts w:ascii="Arial" w:hAnsi="Arial"/>
        </w:rPr>
        <w:t>zione. In seguito, stabilirà la graduatoria definitiva, attribuendo loro un punteggio, da cui verranno individuati i progetti menzionati, i premiati ed il vincitore.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Trattandosi di una competizione anonima, la Giuria, solo dopo aver prescelto i progetti e </w:t>
      </w:r>
      <w:r>
        <w:rPr>
          <w:rFonts w:ascii="Arial" w:hAnsi="Arial"/>
        </w:rPr>
        <w:t xml:space="preserve">formulato la graduatoria, procederà all’apertura delle buste sigillate ed alla conseguente verifica dei documenti. In conseguenza a tale verifica, se la Giuria ritenesse incompatibile la partecipazione di uno dei progettisti selezionati, farà subentrare a </w:t>
      </w:r>
      <w:r>
        <w:rPr>
          <w:rFonts w:ascii="Arial" w:hAnsi="Arial"/>
        </w:rPr>
        <w:t xml:space="preserve">questo il concorrente successivo nella graduatoria.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Il giudizio della giuria è definitivo ed insindacabile. Le decisioni sono assunte a maggioranza semplice. Le riunioni della Giuria sono valide con la presenza della totalità dei suoi membri. I lavori del</w:t>
      </w:r>
      <w:r>
        <w:rPr>
          <w:rFonts w:ascii="Arial" w:hAnsi="Arial"/>
        </w:rPr>
        <w:t>la Giuria sono segreti. Di essi è tenuto un verbale redatto dal segretario e custodito dall’Ente Banditore.</w:t>
      </w:r>
    </w:p>
    <w:p w:rsidR="00000000" w:rsidRDefault="005A4512">
      <w:pPr>
        <w:ind w:left="2268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Le relazioni conclusive dei lavori della Giuria sono pubbliche e consultabili sul sito, e conterranno una breve illustrazione della metodologia di v</w:t>
      </w:r>
      <w:r>
        <w:rPr>
          <w:rFonts w:ascii="Arial" w:hAnsi="Arial"/>
        </w:rPr>
        <w:t>alutazione, seguita e dell’iter dei lavori, oltre che l’elenco dei progetti selezionati, accompagnato dalle relative motivazioni.</w:t>
      </w:r>
    </w:p>
    <w:p w:rsidR="00000000" w:rsidRDefault="005A4512">
      <w:pPr>
        <w:ind w:left="2268"/>
        <w:jc w:val="both"/>
        <w:rPr>
          <w:rFonts w:ascii="Arial" w:hAnsi="Arial"/>
          <w:color w:val="FF0000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6.3. Premi.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Ai progettisti selezionati saranno riconosciuti i seguenti premi: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1° classificato euro 9.000,00.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2° classificato</w:t>
      </w:r>
      <w:r>
        <w:rPr>
          <w:rFonts w:ascii="Arial" w:hAnsi="Arial"/>
        </w:rPr>
        <w:t xml:space="preserve"> euro 4.000,00.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3° classificato euro 2.000,00.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La Giuria assegnerà delle “menzioni” ai progetti ritenuti meritevoli. I progetti menzionati non avranno diritto ad alcun premio o rimborso.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primi 10 progetti classificati saranno esposti nella mostra che ver</w:t>
      </w:r>
      <w:r>
        <w:rPr>
          <w:rFonts w:ascii="Arial" w:hAnsi="Arial"/>
        </w:rPr>
        <w:t xml:space="preserve">rà allestita lungo il Borgo di Ischia Ponte, in occasione della manifestazione di premiazione. 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</w:rPr>
        <w:t>Gli importi dei premi si intendono al netto dell’IVA e al lordo degli eventuali contributi previdenziali.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6.4. Esito del Concorso e pubblicazione dei risultati</w:t>
      </w:r>
      <w:r>
        <w:rPr>
          <w:rFonts w:ascii="Arial" w:hAnsi="Arial"/>
          <w:b/>
        </w:rPr>
        <w:t>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Al termine dei lavori della Giuria, l’Ente Banditore provvederà a comunicare ai partecipanti, via mail, i risultati del Concorso e renderà pubblico il giudizio formulato, pubblicando la relazione conclusiva ed i giudizi espressi sui progetti premiati o </w:t>
      </w:r>
      <w:r>
        <w:rPr>
          <w:rFonts w:ascii="Arial" w:hAnsi="Arial"/>
        </w:rPr>
        <w:t xml:space="preserve">menzionati sul sito web </w:t>
      </w:r>
      <w:hyperlink r:id="rId15" w:history="1">
        <w:r>
          <w:rPr>
            <w:rStyle w:val="Collegamentoipertestuale"/>
            <w:rFonts w:ascii="Arial" w:hAnsi="Arial"/>
          </w:rPr>
          <w:t>www.borgoischiaponte.it</w:t>
        </w:r>
      </w:hyperlink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L’Ente Banditore si impegna a presentare al pubblico i progetti, al fine di attivare un dibattito sugli esiti del Concorso.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In particolare, verrà organizzata ad</w:t>
      </w:r>
      <w:r>
        <w:rPr>
          <w:rFonts w:ascii="Arial" w:hAnsi="Arial"/>
        </w:rPr>
        <w:t xml:space="preserve"> Ischia, il 16 settembre 2017, al Borgo di Ischia Ponte, una manifestazione conclusiva del Concorso in cui, in occasione della proclamazione del vincitore e delle premiazioni, verranno esposti i primi 10 progetti selezionati dalla Giuria.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7. CONDIZIONI F</w:t>
      </w:r>
      <w:r>
        <w:rPr>
          <w:rFonts w:ascii="Arial" w:hAnsi="Arial"/>
          <w:b/>
        </w:rPr>
        <w:t>INALI.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7.1. Calendario riassuntivo.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- Lancio del Concorso: </w:t>
      </w:r>
      <w:r>
        <w:rPr>
          <w:rFonts w:ascii="Arial" w:hAnsi="Arial" w:cs="Arial"/>
          <w:szCs w:val="16"/>
        </w:rPr>
        <w:t>01.03.2017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Termine di iscrizione: 31.05.2017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 w:cs="Arial"/>
          <w:szCs w:val="16"/>
        </w:rPr>
        <w:t>Date del sopralluogo all’area di progetto</w:t>
      </w:r>
      <w:r>
        <w:rPr>
          <w:rFonts w:ascii="Arial" w:hAnsi="Arial"/>
        </w:rPr>
        <w:t xml:space="preserve">: </w:t>
      </w:r>
      <w:r>
        <w:rPr>
          <w:rFonts w:ascii="Arial" w:hAnsi="Arial" w:cs="Arial"/>
          <w:szCs w:val="16"/>
        </w:rPr>
        <w:t>03.06.2017 e 10.06.2017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 w:cs="Arial"/>
          <w:szCs w:val="16"/>
        </w:rPr>
        <w:t>Scadenza per l’invio dei quesiti</w:t>
      </w:r>
      <w:r>
        <w:rPr>
          <w:rFonts w:ascii="Arial" w:hAnsi="Arial"/>
        </w:rPr>
        <w:t xml:space="preserve">: </w:t>
      </w:r>
      <w:r>
        <w:rPr>
          <w:rFonts w:ascii="Arial" w:hAnsi="Arial" w:cs="Arial"/>
          <w:szCs w:val="16"/>
        </w:rPr>
        <w:t>16.06.2017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 w:cs="Arial"/>
          <w:szCs w:val="16"/>
        </w:rPr>
        <w:t>Pubblicazione delle risposte a</w:t>
      </w:r>
      <w:r>
        <w:rPr>
          <w:rFonts w:ascii="Arial" w:hAnsi="Arial" w:cs="Arial"/>
          <w:szCs w:val="16"/>
        </w:rPr>
        <w:t>i quesiti: 19.06.2017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Consegna degli elaborati di progetto: ore 18.00 del 30.06.2017</w:t>
      </w:r>
    </w:p>
    <w:p w:rsidR="00000000" w:rsidRDefault="005A4512">
      <w:pPr>
        <w:ind w:left="2268"/>
        <w:jc w:val="both"/>
        <w:rPr>
          <w:rFonts w:ascii="Arial" w:hAnsi="Arial" w:cs="Arial"/>
          <w:szCs w:val="16"/>
        </w:rPr>
      </w:pPr>
      <w:r>
        <w:rPr>
          <w:rFonts w:ascii="Arial" w:hAnsi="Arial"/>
        </w:rPr>
        <w:t xml:space="preserve">- </w:t>
      </w:r>
      <w:r>
        <w:rPr>
          <w:rFonts w:ascii="Arial" w:hAnsi="Arial" w:cs="Arial"/>
          <w:szCs w:val="16"/>
        </w:rPr>
        <w:t>Riunione della giuria</w:t>
      </w:r>
      <w:r>
        <w:rPr>
          <w:rFonts w:ascii="Arial" w:hAnsi="Arial"/>
        </w:rPr>
        <w:t>: 7-9.07.2017</w:t>
      </w:r>
      <w:r>
        <w:rPr>
          <w:rFonts w:ascii="Arial" w:hAnsi="Arial" w:cs="Arial"/>
          <w:szCs w:val="16"/>
        </w:rPr>
        <w:t>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 w:cs="Arial"/>
          <w:szCs w:val="16"/>
        </w:rPr>
        <w:t>- Comunicazione dei 10 progetti selezionati: 11.07.2017.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- Proclamazione del vincitore, premiazioni, inaugurazione dell’esposizione</w:t>
      </w:r>
      <w:r>
        <w:rPr>
          <w:rFonts w:ascii="Arial" w:hAnsi="Arial"/>
        </w:rPr>
        <w:t>: 16.09.2017.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</w:rPr>
        <w:t>- Restituzione degli elaborati di progetto: entro il 31.10.2017.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7.2. Proprietà dei progetti. 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diritti intellettuali relativi ai progetti rimangono di proprietà dei rispettivi autori. L’Ente Banditore acquisisce i diritti patrimoniali sui</w:t>
      </w:r>
      <w:r>
        <w:rPr>
          <w:rFonts w:ascii="Arial" w:hAnsi="Arial"/>
        </w:rPr>
        <w:t xml:space="preserve"> tre progetti premiati.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In caso di raggruppamenti, a tutti i componenti del gruppo è riconosciuto, a parità di titoli e di diritti, la paternità dei progetti presentati.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L’Ente Banditore si riserva il diritto di esporre, pubblicare o consentire la pubblica</w:t>
      </w:r>
      <w:r>
        <w:rPr>
          <w:rFonts w:ascii="Arial" w:hAnsi="Arial"/>
        </w:rPr>
        <w:t>zione, in tutto o in parte, degli elaborati di progetto presentati al Concorso, senza nulla dovere ai concorrenti.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È fatto obbligo ai concorrenti, pena l'esclusione dal Concorso, di non pubblicare i progetti prima che la Giuria abbia espresso e reso pubbli</w:t>
      </w:r>
      <w:r>
        <w:rPr>
          <w:rFonts w:ascii="Arial" w:hAnsi="Arial"/>
        </w:rPr>
        <w:t xml:space="preserve">co il proprio giudizio. 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7.3. Ritiro degli elaborati.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Gli elaborati di progetto rimarranno custoditi presso al segreteria del Concorso fino al 31.10.2017. Dopo tale data, i concorrenti autori dei progetti non premiati potranno provvedere al loro ritiro, </w:t>
      </w:r>
      <w:r>
        <w:rPr>
          <w:rFonts w:ascii="Arial" w:hAnsi="Arial"/>
        </w:rPr>
        <w:t>a proprie spese, facendone richiesta alla segreteria del Concorso. Trascorsi trenta giorni da tale data, l’Ente Banditore non sarà più responsabile della conservazione degli elaborati stessi.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7.4. Accettazione delle clausole del bando.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La partecipazione </w:t>
      </w:r>
      <w:r>
        <w:rPr>
          <w:rFonts w:ascii="Arial" w:hAnsi="Arial"/>
        </w:rPr>
        <w:t xml:space="preserve">al Concorso implica, da parte di ogni concorrente, </w:t>
      </w:r>
      <w:r>
        <w:rPr>
          <w:rFonts w:ascii="Arial" w:hAnsi="Arial"/>
        </w:rPr>
        <w:lastRenderedPageBreak/>
        <w:t xml:space="preserve">l'accettazione incondizionata di tutte le norme e le clausole del presente bando.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Per eventuali controversie, si farà ricorso al Foro di Napoli.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7.5. Trattamento dei dati personali.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I dati personali for</w:t>
      </w:r>
      <w:r>
        <w:rPr>
          <w:rFonts w:ascii="Arial" w:hAnsi="Arial"/>
        </w:rPr>
        <w:t xml:space="preserve">niti dai candidati potranno essere oggetto di comunicazione esclusivamente nell’ambito dell’attività istruttoria di verifica ed esame dei progetti. 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7.6. Responsabile del procedimento.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La Responsabile del procedimento per la procedura concorsuale è la </w:t>
      </w:r>
      <w:r>
        <w:rPr>
          <w:rFonts w:ascii="Arial" w:hAnsi="Arial"/>
        </w:rPr>
        <w:t xml:space="preserve">dott.ssa Maria Funiciello. </w:t>
      </w:r>
    </w:p>
    <w:p w:rsidR="00000000" w:rsidRDefault="005A4512">
      <w:pPr>
        <w:ind w:left="2268"/>
        <w:jc w:val="both"/>
        <w:rPr>
          <w:rFonts w:ascii="Arial" w:hAnsi="Arial"/>
          <w:b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  <w:b/>
        </w:rPr>
        <w:t>7.7. Segreteria di Concorso.</w:t>
      </w:r>
    </w:p>
    <w:p w:rsidR="00000000" w:rsidRDefault="005A4512">
      <w:pPr>
        <w:ind w:left="2268"/>
        <w:jc w:val="both"/>
        <w:rPr>
          <w:rFonts w:ascii="Arial" w:hAnsi="Arial"/>
        </w:rPr>
      </w:pP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La segreteria del Concorso ha i seguenti recapiti: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Consorzio Borgo di Ischia Ponte - via Luigi Mazzella n. 124- 80077 Ischia (NA). 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>Telefono</w:t>
      </w:r>
      <w:r>
        <w:rPr>
          <w:rFonts w:ascii="Arial" w:hAnsi="Arial"/>
        </w:rPr>
        <w:tab/>
        <w:t>3495187974</w:t>
      </w:r>
    </w:p>
    <w:p w:rsidR="00000000" w:rsidRDefault="005A4512">
      <w:pPr>
        <w:ind w:left="2268"/>
        <w:jc w:val="both"/>
        <w:rPr>
          <w:rFonts w:ascii="Arial" w:hAnsi="Arial"/>
        </w:rPr>
      </w:pPr>
      <w:r>
        <w:rPr>
          <w:rFonts w:ascii="Arial" w:hAnsi="Arial"/>
        </w:rPr>
        <w:t xml:space="preserve">Fax 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081.3332559</w:t>
      </w:r>
    </w:p>
    <w:p w:rsidR="00000000" w:rsidRDefault="005A4512">
      <w:pPr>
        <w:ind w:left="2268"/>
        <w:jc w:val="both"/>
      </w:pPr>
      <w:r>
        <w:rPr>
          <w:rFonts w:ascii="Arial" w:hAnsi="Arial"/>
        </w:rPr>
        <w:t>E-mail</w:t>
      </w:r>
      <w:r>
        <w:rPr>
          <w:rFonts w:ascii="Arial" w:hAnsi="Arial"/>
        </w:rPr>
        <w:tab/>
      </w:r>
      <w:hyperlink r:id="rId16" w:history="1">
        <w:r>
          <w:rPr>
            <w:rStyle w:val="Collegamentoipertestuale"/>
            <w:rFonts w:ascii="Arial" w:hAnsi="Arial"/>
          </w:rPr>
          <w:t>concorso@borgoischiaponte.it</w:t>
        </w:r>
      </w:hyperlink>
    </w:p>
    <w:p w:rsidR="00000000" w:rsidRDefault="005A4512">
      <w:pPr>
        <w:ind w:left="2268"/>
        <w:jc w:val="both"/>
      </w:pPr>
    </w:p>
    <w:p w:rsidR="005A4512" w:rsidRDefault="005A4512">
      <w:pPr>
        <w:sectPr w:rsidR="005A4512">
          <w:type w:val="continuous"/>
          <w:pgSz w:w="11906" w:h="16838"/>
          <w:pgMar w:top="1134" w:right="1134" w:bottom="1824" w:left="1134" w:header="720" w:footer="1134" w:gutter="0"/>
          <w:cols w:space="720"/>
        </w:sectPr>
      </w:pPr>
    </w:p>
    <w:sectPr w:rsidR="005A4512">
      <w:type w:val="continuous"/>
      <w:pgSz w:w="11906" w:h="16838"/>
      <w:pgMar w:top="1134" w:right="1134" w:bottom="1824" w:left="1134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51"/>
    <w:rsid w:val="005A4512"/>
    <w:rsid w:val="006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5DC5BB-74E7-4CAB-ABA3-DACFC198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imes" w:hAnsi="Times"/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widowControl/>
      <w:outlineLvl w:val="0"/>
    </w:pPr>
    <w:rPr>
      <w:i/>
      <w:iCs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Corpotesto"/>
    <w:qFormat/>
    <w:pPr>
      <w:keepNext/>
      <w:widowControl/>
      <w:numPr>
        <w:ilvl w:val="2"/>
        <w:numId w:val="1"/>
      </w:numPr>
      <w:outlineLvl w:val="2"/>
    </w:pPr>
    <w:rPr>
      <w:rFonts w:ascii="Arial" w:hAnsi="Arial" w:cs="Arial"/>
      <w:b/>
      <w:bCs/>
      <w:i/>
      <w:sz w:val="22"/>
    </w:rPr>
  </w:style>
  <w:style w:type="paragraph" w:styleId="Titolo4">
    <w:name w:val="heading 4"/>
    <w:basedOn w:val="Normale"/>
    <w:next w:val="Corpotesto"/>
    <w:qFormat/>
    <w:pPr>
      <w:keepNext/>
      <w:widowControl/>
      <w:numPr>
        <w:ilvl w:val="3"/>
        <w:numId w:val="1"/>
      </w:numPr>
      <w:jc w:val="both"/>
      <w:outlineLvl w:val="3"/>
    </w:pPr>
    <w:rPr>
      <w:rFonts w:ascii="Arial" w:hAnsi="Arial"/>
      <w:b/>
      <w:color w:val="000000"/>
      <w:sz w:val="32"/>
    </w:rPr>
  </w:style>
  <w:style w:type="paragraph" w:styleId="Titolo5">
    <w:name w:val="heading 5"/>
    <w:basedOn w:val="Normale"/>
    <w:next w:val="Corpotesto"/>
    <w:qFormat/>
    <w:pPr>
      <w:keepNext/>
      <w:widowControl/>
      <w:numPr>
        <w:ilvl w:val="4"/>
        <w:numId w:val="1"/>
      </w:numPr>
      <w:outlineLvl w:val="4"/>
    </w:pPr>
    <w:rPr>
      <w:rFonts w:ascii="Arial" w:hAnsi="Arial"/>
      <w:color w:val="000000"/>
      <w:sz w:val="32"/>
    </w:rPr>
  </w:style>
  <w:style w:type="paragraph" w:styleId="Titolo6">
    <w:name w:val="heading 6"/>
    <w:basedOn w:val="Normale"/>
    <w:next w:val="Corpotesto"/>
    <w:qFormat/>
    <w:pPr>
      <w:keepNext/>
      <w:widowControl/>
      <w:numPr>
        <w:ilvl w:val="5"/>
        <w:numId w:val="1"/>
      </w:numPr>
      <w:ind w:left="0" w:right="-142" w:firstLine="0"/>
      <w:outlineLvl w:val="5"/>
    </w:pPr>
    <w:rPr>
      <w:rFonts w:ascii="Arial" w:hAnsi="Arial"/>
      <w:color w:val="000000"/>
      <w:sz w:val="32"/>
    </w:rPr>
  </w:style>
  <w:style w:type="paragraph" w:styleId="Titolo7">
    <w:name w:val="heading 7"/>
    <w:basedOn w:val="Normale"/>
    <w:next w:val="Corpotesto"/>
    <w:qFormat/>
    <w:pPr>
      <w:keepNext/>
      <w:widowControl/>
      <w:numPr>
        <w:ilvl w:val="6"/>
        <w:numId w:val="1"/>
      </w:numPr>
      <w:ind w:left="180" w:firstLine="0"/>
      <w:outlineLvl w:val="6"/>
    </w:pPr>
    <w:rPr>
      <w:rFonts w:ascii="Arial" w:hAnsi="Arial"/>
      <w:i/>
      <w:color w:val="000000"/>
      <w:sz w:val="20"/>
    </w:rPr>
  </w:style>
  <w:style w:type="paragraph" w:styleId="Titolo8">
    <w:name w:val="heading 8"/>
    <w:basedOn w:val="Normale"/>
    <w:next w:val="Corpotesto"/>
    <w:qFormat/>
    <w:pPr>
      <w:keepNext/>
      <w:widowControl/>
      <w:numPr>
        <w:ilvl w:val="7"/>
        <w:numId w:val="1"/>
      </w:numPr>
      <w:ind w:left="180" w:firstLine="0"/>
      <w:outlineLvl w:val="7"/>
    </w:pPr>
    <w:rPr>
      <w:rFonts w:ascii="Arial" w:hAnsi="Arial"/>
      <w:b/>
      <w:i/>
      <w:color w:val="000000"/>
      <w:sz w:val="20"/>
    </w:rPr>
  </w:style>
  <w:style w:type="paragraph" w:styleId="Titolo9">
    <w:name w:val="heading 9"/>
    <w:basedOn w:val="Normale"/>
    <w:next w:val="Corpotesto"/>
    <w:qFormat/>
    <w:pPr>
      <w:keepNext/>
      <w:widowControl/>
      <w:numPr>
        <w:ilvl w:val="8"/>
        <w:numId w:val="1"/>
      </w:numPr>
      <w:spacing w:line="360" w:lineRule="auto"/>
      <w:jc w:val="center"/>
      <w:outlineLvl w:val="8"/>
    </w:pPr>
    <w:rPr>
      <w:rFonts w:ascii="Arial" w:hAnsi="Arial"/>
      <w:b/>
      <w:i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basedOn w:val="DefaultParagraphFont"/>
    <w:rPr>
      <w:color w:val="0000FF"/>
      <w:u w:val="single"/>
      <w:lang/>
    </w:rPr>
  </w:style>
  <w:style w:type="character" w:customStyle="1" w:styleId="annotationreference">
    <w:name w:val="annotation reference"/>
    <w:basedOn w:val="DefaultParagraphFont"/>
    <w:rPr>
      <w:sz w:val="16"/>
      <w:szCs w:val="16"/>
    </w:rPr>
  </w:style>
  <w:style w:type="character" w:customStyle="1" w:styleId="pagenumber">
    <w:name w:val="page number"/>
    <w:basedOn w:val="DefaultParagraphFont"/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customStyle="1" w:styleId="PidipaginaCarattere">
    <w:name w:val="Piè di pagina Carattere"/>
    <w:basedOn w:val="DefaultParagraphFont"/>
    <w:rPr>
      <w:rFonts w:eastAsia="Times New Roman"/>
      <w:sz w:val="24"/>
    </w:rPr>
  </w:style>
  <w:style w:type="character" w:customStyle="1" w:styleId="TestofumettoCarattere">
    <w:name w:val="Testo fumetto Carattere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widowControl/>
      <w:spacing w:after="120"/>
    </w:pPr>
    <w:rPr>
      <w:rFonts w:ascii="Times New Roman" w:hAnsi="Times New Roman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p0">
    <w:name w:val="p0"/>
    <w:basedOn w:val="Normale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e"/>
    <w:pPr>
      <w:spacing w:line="240" w:lineRule="atLeast"/>
    </w:pPr>
  </w:style>
  <w:style w:type="paragraph" w:customStyle="1" w:styleId="p2">
    <w:name w:val="p2"/>
    <w:basedOn w:val="Normale"/>
    <w:pPr>
      <w:tabs>
        <w:tab w:val="left" w:pos="5680"/>
      </w:tabs>
      <w:spacing w:line="240" w:lineRule="atLeast"/>
      <w:ind w:left="4240"/>
      <w:jc w:val="both"/>
    </w:pPr>
  </w:style>
  <w:style w:type="paragraph" w:customStyle="1" w:styleId="p3">
    <w:name w:val="p3"/>
    <w:basedOn w:val="Normale"/>
    <w:pPr>
      <w:tabs>
        <w:tab w:val="left" w:pos="240"/>
      </w:tabs>
      <w:spacing w:line="240" w:lineRule="atLeast"/>
      <w:ind w:left="1200"/>
      <w:jc w:val="both"/>
    </w:pPr>
  </w:style>
  <w:style w:type="paragraph" w:customStyle="1" w:styleId="c4">
    <w:name w:val="c4"/>
    <w:basedOn w:val="Normale"/>
    <w:pPr>
      <w:spacing w:line="240" w:lineRule="atLeast"/>
      <w:jc w:val="center"/>
    </w:pPr>
  </w:style>
  <w:style w:type="paragraph" w:customStyle="1" w:styleId="p5">
    <w:name w:val="p5"/>
    <w:basedOn w:val="Normale"/>
    <w:pPr>
      <w:tabs>
        <w:tab w:val="left" w:pos="320"/>
      </w:tabs>
      <w:spacing w:line="240" w:lineRule="atLeast"/>
      <w:ind w:left="1120"/>
      <w:jc w:val="both"/>
    </w:pPr>
  </w:style>
  <w:style w:type="paragraph" w:customStyle="1" w:styleId="p6">
    <w:name w:val="p6"/>
    <w:basedOn w:val="Normale"/>
    <w:pPr>
      <w:spacing w:line="300" w:lineRule="atLeast"/>
      <w:ind w:left="1440" w:firstLine="288"/>
      <w:jc w:val="both"/>
    </w:pPr>
  </w:style>
  <w:style w:type="paragraph" w:customStyle="1" w:styleId="p7">
    <w:name w:val="p7"/>
    <w:basedOn w:val="Normale"/>
    <w:pPr>
      <w:tabs>
        <w:tab w:val="left" w:pos="320"/>
      </w:tabs>
      <w:spacing w:line="300" w:lineRule="atLeast"/>
      <w:ind w:left="1120"/>
      <w:jc w:val="both"/>
    </w:pPr>
  </w:style>
  <w:style w:type="paragraph" w:customStyle="1" w:styleId="p8">
    <w:name w:val="p8"/>
    <w:basedOn w:val="Normale"/>
    <w:pPr>
      <w:tabs>
        <w:tab w:val="left" w:pos="4740"/>
        <w:tab w:val="left" w:pos="5020"/>
      </w:tabs>
      <w:spacing w:line="240" w:lineRule="atLeast"/>
      <w:ind w:left="3600" w:hanging="288"/>
      <w:jc w:val="both"/>
    </w:pPr>
  </w:style>
  <w:style w:type="paragraph" w:customStyle="1" w:styleId="p9">
    <w:name w:val="p9"/>
    <w:basedOn w:val="Normale"/>
    <w:pPr>
      <w:tabs>
        <w:tab w:val="left" w:pos="5680"/>
      </w:tabs>
      <w:spacing w:line="240" w:lineRule="atLeast"/>
      <w:ind w:left="4240"/>
    </w:pPr>
  </w:style>
  <w:style w:type="paragraph" w:customStyle="1" w:styleId="p10">
    <w:name w:val="p10"/>
    <w:basedOn w:val="Normale"/>
    <w:pPr>
      <w:tabs>
        <w:tab w:val="left" w:pos="240"/>
      </w:tabs>
      <w:spacing w:line="240" w:lineRule="atLeast"/>
      <w:ind w:left="1200"/>
    </w:pPr>
  </w:style>
  <w:style w:type="paragraph" w:customStyle="1" w:styleId="p11">
    <w:name w:val="p11"/>
    <w:basedOn w:val="Normale"/>
    <w:pPr>
      <w:tabs>
        <w:tab w:val="left" w:pos="320"/>
      </w:tabs>
      <w:spacing w:line="240" w:lineRule="atLeast"/>
      <w:ind w:left="1120"/>
    </w:pPr>
  </w:style>
  <w:style w:type="paragraph" w:customStyle="1" w:styleId="p12">
    <w:name w:val="p12"/>
    <w:basedOn w:val="Normale"/>
    <w:pPr>
      <w:spacing w:line="300" w:lineRule="atLeast"/>
      <w:ind w:left="1440" w:firstLine="288"/>
    </w:pPr>
  </w:style>
  <w:style w:type="paragraph" w:customStyle="1" w:styleId="p13">
    <w:name w:val="p13"/>
    <w:basedOn w:val="Normale"/>
    <w:pPr>
      <w:tabs>
        <w:tab w:val="left" w:pos="320"/>
      </w:tabs>
      <w:spacing w:line="300" w:lineRule="atLeast"/>
      <w:ind w:left="1120"/>
    </w:pPr>
  </w:style>
  <w:style w:type="paragraph" w:customStyle="1" w:styleId="p14">
    <w:name w:val="p14"/>
    <w:basedOn w:val="Normale"/>
    <w:pPr>
      <w:tabs>
        <w:tab w:val="left" w:pos="4740"/>
        <w:tab w:val="left" w:pos="5020"/>
      </w:tabs>
      <w:spacing w:line="240" w:lineRule="atLeast"/>
      <w:ind w:left="3600" w:hanging="288"/>
    </w:pPr>
  </w:style>
  <w:style w:type="paragraph" w:customStyle="1" w:styleId="p4">
    <w:name w:val="p4"/>
    <w:basedOn w:val="Normale"/>
    <w:pPr>
      <w:tabs>
        <w:tab w:val="left" w:pos="3800"/>
      </w:tabs>
      <w:spacing w:line="300" w:lineRule="atLeast"/>
      <w:ind w:left="2360"/>
      <w:jc w:val="both"/>
    </w:pPr>
  </w:style>
  <w:style w:type="paragraph" w:styleId="Titolo">
    <w:name w:val="Title"/>
    <w:basedOn w:val="Normale"/>
    <w:next w:val="Sottotitolo"/>
    <w:qFormat/>
    <w:pPr>
      <w:widowControl/>
      <w:jc w:val="center"/>
    </w:pPr>
    <w:rPr>
      <w:rFonts w:ascii="Helvetica" w:hAnsi="Helvetica"/>
      <w:b/>
      <w:bCs/>
      <w:sz w:val="3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widowControl/>
      <w:ind w:left="2127"/>
      <w:jc w:val="both"/>
    </w:pPr>
    <w:rPr>
      <w:rFonts w:ascii="Helvetica" w:hAnsi="Helvetica"/>
      <w:sz w:val="22"/>
    </w:rPr>
  </w:style>
  <w:style w:type="paragraph" w:customStyle="1" w:styleId="BodyTextIndent3">
    <w:name w:val="Body Text Indent 3"/>
    <w:basedOn w:val="Normale"/>
    <w:pPr>
      <w:widowControl/>
      <w:ind w:left="2127"/>
    </w:pPr>
    <w:rPr>
      <w:rFonts w:ascii="Helvetica" w:hAnsi="Helvetica"/>
      <w:b/>
      <w:i/>
      <w:sz w:val="22"/>
    </w:rPr>
  </w:style>
  <w:style w:type="paragraph" w:styleId="Intestazione">
    <w:name w:val="header"/>
    <w:basedOn w:val="Normale"/>
    <w:pPr>
      <w:widowControl/>
      <w:suppressLineNumbers/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spacing w:after="120" w:line="480" w:lineRule="auto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odyTextIndent2">
    <w:name w:val="Body Text Indent 2"/>
    <w:basedOn w:val="Normale"/>
    <w:pPr>
      <w:spacing w:line="360" w:lineRule="atLeast"/>
      <w:ind w:left="-142"/>
      <w:jc w:val="both"/>
    </w:pPr>
    <w:rPr>
      <w:rFonts w:ascii="Arial" w:hAnsi="Arial" w:cs="Arial"/>
      <w:sz w:val="22"/>
    </w:rPr>
  </w:style>
  <w:style w:type="paragraph" w:customStyle="1" w:styleId="annotationtext">
    <w:name w:val="annotation text"/>
    <w:basedOn w:val="Normale"/>
    <w:pPr>
      <w:widowControl/>
    </w:pPr>
    <w:rPr>
      <w:sz w:val="20"/>
    </w:rPr>
  </w:style>
  <w:style w:type="paragraph" w:customStyle="1" w:styleId="BodyText3">
    <w:name w:val="Body Text 3"/>
    <w:basedOn w:val="Normale"/>
    <w:pPr>
      <w:widowControl/>
      <w:jc w:val="both"/>
    </w:pPr>
    <w:rPr>
      <w:color w:val="000000"/>
    </w:rPr>
  </w:style>
  <w:style w:type="paragraph" w:customStyle="1" w:styleId="ListParagraph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goischiaponte.it/" TargetMode="External"/><Relationship Id="rId13" Type="http://schemas.openxmlformats.org/officeDocument/2006/relationships/hyperlink" Target="http://www.borgoischiaponte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goischiaponte.it/" TargetMode="External"/><Relationship Id="rId12" Type="http://schemas.openxmlformats.org/officeDocument/2006/relationships/hyperlink" Target="mailto:concorso@ooooo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ncorso@ooooo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ncorso@borgoischiapont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orgoischiaponte.it/" TargetMode="External"/><Relationship Id="rId10" Type="http://schemas.openxmlformats.org/officeDocument/2006/relationships/hyperlink" Target="mailto:concorso@ooooo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goischiaponte.it/" TargetMode="External"/><Relationship Id="rId14" Type="http://schemas.openxmlformats.org/officeDocument/2006/relationships/hyperlink" Target="http://www.borgoischiapon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ISAM - Istituto per l'Architettura Mediterranea</vt:lpstr>
    </vt:vector>
  </TitlesOfParts>
  <Company/>
  <LinksUpToDate>false</LinksUpToDate>
  <CharactersWithSpaces>23558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ISAM - Istituto per l'Architettura Mediterranea</dc:title>
  <dc:subject/>
  <dc:creator>Antonello Monaco</dc:creator>
  <cp:keywords/>
  <cp:lastModifiedBy>Claudio</cp:lastModifiedBy>
  <cp:revision>2</cp:revision>
  <cp:lastPrinted>2009-01-31T23:32:00Z</cp:lastPrinted>
  <dcterms:created xsi:type="dcterms:W3CDTF">2017-03-13T16:01:00Z</dcterms:created>
  <dcterms:modified xsi:type="dcterms:W3CDTF">2017-03-13T16:01:00Z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pollio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